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left"/>
        <w:rPr>
          <w:rFonts w:hint="eastAsia" w:ascii="黑体" w:hAnsi="黑体" w:eastAsia="黑体"/>
          <w:sz w:val="32"/>
          <w:lang w:val="en-US" w:eastAsia="zh-CN"/>
        </w:rPr>
      </w:pPr>
      <w:r>
        <w:rPr>
          <w:rFonts w:hint="eastAsia" w:ascii="黑体" w:hAnsi="黑体" w:eastAsia="黑体"/>
          <w:sz w:val="32"/>
          <w:lang w:val="en-US" w:eastAsia="zh-CN"/>
        </w:rPr>
        <w:t>附件2</w:t>
      </w:r>
    </w:p>
    <w:p>
      <w:pPr>
        <w:ind w:left="0" w:leftChars="0" w:right="0" w:rightChars="0" w:firstLine="0" w:firstLineChars="0"/>
        <w:jc w:val="center"/>
        <w:rPr>
          <w:rFonts w:hint="eastAsia" w:ascii="黑体" w:hAnsi="黑体" w:eastAsia="黑体"/>
          <w:sz w:val="32"/>
          <w:lang w:val="en-US" w:eastAsia="zh-CN"/>
        </w:rPr>
      </w:pPr>
      <w:r>
        <w:rPr>
          <w:rFonts w:hint="eastAsia" w:ascii="宋体" w:hAnsi="宋体" w:eastAsia="宋体" w:cs="宋体"/>
          <w:b/>
          <w:i w:val="0"/>
          <w:color w:val="000000"/>
          <w:kern w:val="0"/>
          <w:sz w:val="44"/>
          <w:szCs w:val="44"/>
          <w:u w:val="none"/>
          <w:lang w:val="en-US" w:eastAsia="zh-CN" w:bidi="ar"/>
        </w:rPr>
        <w:t>省直</w:t>
      </w:r>
      <w:r>
        <w:rPr>
          <w:rFonts w:hint="eastAsia" w:ascii="宋体" w:hAnsi="宋体" w:cs="宋体"/>
          <w:b/>
          <w:i w:val="0"/>
          <w:color w:val="000000"/>
          <w:kern w:val="0"/>
          <w:sz w:val="44"/>
          <w:szCs w:val="44"/>
          <w:u w:val="none"/>
          <w:lang w:val="en-US" w:eastAsia="zh-CN" w:bidi="ar"/>
        </w:rPr>
        <w:t>部门</w:t>
      </w:r>
      <w:r>
        <w:rPr>
          <w:rFonts w:hint="eastAsia" w:ascii="宋体" w:hAnsi="宋体" w:eastAsia="宋体" w:cs="宋体"/>
          <w:b/>
          <w:i w:val="0"/>
          <w:color w:val="000000"/>
          <w:kern w:val="0"/>
          <w:sz w:val="44"/>
          <w:szCs w:val="44"/>
          <w:u w:val="none"/>
          <w:lang w:val="en-US" w:eastAsia="zh-CN" w:bidi="ar"/>
        </w:rPr>
        <w:t>法治宣传教育第七个五年规划考核评估指标</w:t>
      </w:r>
    </w:p>
    <w:tbl>
      <w:tblPr>
        <w:tblStyle w:val="3"/>
        <w:tblpPr w:leftFromText="180" w:rightFromText="180" w:vertAnchor="text" w:horzAnchor="page" w:tblpX="970" w:tblpY="679"/>
        <w:tblOverlap w:val="never"/>
        <w:tblW w:w="14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4"/>
        <w:gridCol w:w="1065"/>
        <w:gridCol w:w="2040"/>
        <w:gridCol w:w="6892"/>
        <w:gridCol w:w="1109"/>
        <w:gridCol w:w="944"/>
        <w:gridCol w:w="2101"/>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90"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指标含义</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采集方式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095" w:hRule="atLeast"/>
        </w:trPr>
        <w:tc>
          <w:tcPr>
            <w:tcW w:w="60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Ⅰ－</w:t>
            </w:r>
            <w:r>
              <w:rPr>
                <w:rStyle w:val="4"/>
                <w:rFonts w:eastAsia="宋体"/>
                <w:lang w:val="en-US" w:eastAsia="zh-CN" w:bidi="ar"/>
              </w:rPr>
              <w:t>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Style w:val="4"/>
                <w:rFonts w:eastAsia="宋体"/>
                <w:lang w:val="en-US" w:eastAsia="zh-CN" w:bidi="ar"/>
              </w:rPr>
              <w:t>(54</w:t>
            </w:r>
            <w:r>
              <w:rPr>
                <w:rFonts w:hint="eastAsia" w:ascii="宋体" w:hAnsi="宋体" w:eastAsia="宋体" w:cs="宋体"/>
                <w:i w:val="0"/>
                <w:color w:val="000000"/>
                <w:kern w:val="0"/>
                <w:sz w:val="20"/>
                <w:szCs w:val="20"/>
                <w:u w:val="none"/>
                <w:lang w:val="en-US" w:eastAsia="zh-CN" w:bidi="ar"/>
              </w:rPr>
              <w:t>分</w:t>
            </w:r>
            <w:r>
              <w:rPr>
                <w:rStyle w:val="4"/>
                <w:rFonts w:eastAsia="宋体"/>
                <w:lang w:val="en-US" w:eastAsia="zh-CN" w:bidi="ar"/>
              </w:rPr>
              <w:t>)</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br w:type="textWrapping"/>
            </w:r>
          </w:p>
          <w:p>
            <w:pPr>
              <w:keepNext w:val="0"/>
              <w:keepLines w:val="0"/>
              <w:widowControl/>
              <w:suppressLineNumbers w:val="0"/>
              <w:jc w:val="center"/>
              <w:textAlignment w:val="top"/>
              <w:rPr>
                <w:rFonts w:hint="default" w:ascii="Times New Roman" w:hAnsi="Times New Roman" w:eastAsia="宋体" w:cs="Times New Roman"/>
                <w:i w:val="0"/>
                <w:color w:val="000000"/>
                <w:kern w:val="0"/>
                <w:sz w:val="20"/>
                <w:szCs w:val="20"/>
                <w:u w:val="none"/>
                <w:lang w:val="en-US" w:eastAsia="zh-CN" w:bidi="ar"/>
              </w:rPr>
            </w:pPr>
          </w:p>
          <w:p>
            <w:pPr>
              <w:keepNext w:val="0"/>
              <w:keepLines w:val="0"/>
              <w:widowControl/>
              <w:suppressLineNumbers w:val="0"/>
              <w:jc w:val="center"/>
              <w:textAlignment w:val="top"/>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Ⅰ－</w:t>
            </w:r>
            <w:r>
              <w:rPr>
                <w:rStyle w:val="4"/>
                <w:rFonts w:eastAsia="宋体"/>
                <w:lang w:val="en-US" w:eastAsia="zh-CN" w:bidi="ar"/>
              </w:rPr>
              <w:t>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Style w:val="4"/>
                <w:rFonts w:eastAsia="宋体"/>
                <w:lang w:val="en-US" w:eastAsia="zh-CN" w:bidi="ar"/>
              </w:rPr>
              <w:t>(54</w:t>
            </w:r>
            <w:r>
              <w:rPr>
                <w:rFonts w:hint="eastAsia" w:ascii="宋体" w:hAnsi="宋体" w:eastAsia="宋体" w:cs="宋体"/>
                <w:i w:val="0"/>
                <w:color w:val="000000"/>
                <w:kern w:val="0"/>
                <w:sz w:val="20"/>
                <w:szCs w:val="20"/>
                <w:u w:val="none"/>
                <w:lang w:val="en-US" w:eastAsia="zh-CN" w:bidi="ar"/>
              </w:rPr>
              <w:t>分</w:t>
            </w:r>
            <w:r>
              <w:rPr>
                <w:rStyle w:val="4"/>
                <w:rFonts w:eastAsia="宋体"/>
                <w:lang w:val="en-US" w:eastAsia="zh-CN" w:bidi="ar"/>
              </w:rPr>
              <w:t>)</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Ⅱ－１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组织领导</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和保障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（15分）  </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cs="宋体"/>
                <w:i w:val="0"/>
                <w:color w:val="000000"/>
                <w:kern w:val="0"/>
                <w:sz w:val="20"/>
                <w:szCs w:val="20"/>
                <w:u w:val="none"/>
                <w:lang w:val="en-US" w:eastAsia="zh-CN" w:bidi="ar"/>
              </w:rPr>
              <w:t>部门</w:t>
            </w:r>
            <w:r>
              <w:rPr>
                <w:rFonts w:hint="eastAsia" w:ascii="宋体" w:hAnsi="宋体" w:eastAsia="宋体" w:cs="宋体"/>
                <w:i w:val="0"/>
                <w:color w:val="000000"/>
                <w:kern w:val="0"/>
                <w:sz w:val="20"/>
                <w:szCs w:val="20"/>
                <w:u w:val="none"/>
                <w:lang w:val="en-US" w:eastAsia="zh-CN" w:bidi="ar"/>
              </w:rPr>
              <w:t>主要负责人履行法治建设第一责任人职责情况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贯彻落实中央办公厅、国务院办公厅《党政主要负责人履行推进法治建设第一责任人职责规定》（中办发〔2016〕71号）</w:t>
            </w:r>
            <w:r>
              <w:rPr>
                <w:rFonts w:hint="eastAsia" w:ascii="宋体" w:hAnsi="宋体" w:cs="宋体"/>
                <w:i w:val="0"/>
                <w:color w:val="000000"/>
                <w:kern w:val="0"/>
                <w:sz w:val="20"/>
                <w:szCs w:val="20"/>
                <w:u w:val="none"/>
                <w:lang w:val="en-US" w:eastAsia="zh-CN" w:bidi="ar"/>
              </w:rPr>
              <w:t>和我省实施方案</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闽委办</w:t>
            </w:r>
            <w:r>
              <w:rPr>
                <w:rFonts w:hint="eastAsia" w:ascii="宋体" w:hAnsi="宋体" w:eastAsia="宋体" w:cs="宋体"/>
                <w:i w:val="0"/>
                <w:color w:val="000000"/>
                <w:kern w:val="0"/>
                <w:sz w:val="20"/>
                <w:szCs w:val="20"/>
                <w:u w:val="none"/>
                <w:lang w:val="en-US" w:eastAsia="zh-CN" w:bidi="ar"/>
              </w:rPr>
              <w:t>〔201</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58</w:t>
            </w:r>
            <w:r>
              <w:rPr>
                <w:rFonts w:hint="eastAsia" w:ascii="宋体" w:hAnsi="宋体" w:eastAsia="宋体" w:cs="宋体"/>
                <w:i w:val="0"/>
                <w:color w:val="000000"/>
                <w:kern w:val="0"/>
                <w:sz w:val="20"/>
                <w:szCs w:val="20"/>
                <w:u w:val="none"/>
                <w:lang w:val="en-US" w:eastAsia="zh-CN" w:bidi="ar"/>
              </w:rPr>
              <w:t>号）,单位主要负责人亲自研究部署普法依法治理工作，参加普法依法治理重大活动，推动普法依法治理工作深入开展等情况。</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735"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普法工作队伍建设情况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守法普法工作机构和办事机构健全，职责任务明确，组织保障到位情况。</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690"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普法工作经费保障情况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“七五”普法经费列入本单位财政预算，足额予以保障和执行情况。</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080"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val="0"/>
                <w:color w:val="000000"/>
                <w:sz w:val="20"/>
                <w:szCs w:val="20"/>
                <w:u w:val="none"/>
              </w:rPr>
            </w:pP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重点内容 宣传（12分）</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学习宣传习近平总书记关于全面依法治国重要论述情况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学习宣传习近平总书记关于全面依法治国重要论述以及党的十八大以来中央对全面依法治国重大决策部署等情况。</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90"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Ⅲ－5　　　　　　　　宪法学习宣传教育情况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加强宪法宣传教育，组织开展“宪法进万家”、“进公共交通工具”、“进宾馆”等宣传教育活动和“12·4”宪法宣传周活动，推动宪法精神进机关、进企业、进农村、进校园、进社区、进军营、进网络</w:t>
            </w:r>
            <w:r>
              <w:rPr>
                <w:rFonts w:hint="eastAsia" w:ascii="宋体" w:hAnsi="宋体" w:cs="宋体"/>
                <w:i w:val="0"/>
                <w:color w:val="000000"/>
                <w:kern w:val="0"/>
                <w:sz w:val="20"/>
                <w:szCs w:val="20"/>
                <w:u w:val="none"/>
                <w:lang w:val="en-US" w:eastAsia="zh-CN" w:bidi="ar"/>
              </w:rPr>
              <w:t>、进家庭、进宗教场所</w:t>
            </w:r>
            <w:r>
              <w:rPr>
                <w:rFonts w:hint="eastAsia" w:ascii="宋体" w:hAnsi="宋体" w:eastAsia="宋体" w:cs="宋体"/>
                <w:i w:val="0"/>
                <w:color w:val="000000"/>
                <w:kern w:val="0"/>
                <w:sz w:val="20"/>
                <w:szCs w:val="20"/>
                <w:u w:val="none"/>
                <w:lang w:val="en-US" w:eastAsia="zh-CN" w:bidi="ar"/>
              </w:rPr>
              <w:t>等情况</w:t>
            </w:r>
            <w:r>
              <w:rPr>
                <w:rFonts w:hint="eastAsia" w:ascii="宋体" w:hAnsi="宋体" w:cs="宋体"/>
                <w:i w:val="0"/>
                <w:color w:val="000000"/>
                <w:kern w:val="0"/>
                <w:sz w:val="20"/>
                <w:szCs w:val="20"/>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185"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中国特色社会主义法律体系和党内法规宣传情况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围绕本</w:t>
            </w:r>
            <w:r>
              <w:rPr>
                <w:rFonts w:hint="eastAsia" w:ascii="宋体" w:hAnsi="宋体" w:cs="宋体"/>
                <w:i w:val="0"/>
                <w:color w:val="000000"/>
                <w:kern w:val="0"/>
                <w:sz w:val="20"/>
                <w:szCs w:val="20"/>
                <w:u w:val="none"/>
                <w:lang w:val="en-US" w:eastAsia="zh-CN" w:bidi="ar"/>
              </w:rPr>
              <w:t>部门</w:t>
            </w:r>
            <w:r>
              <w:rPr>
                <w:rFonts w:hint="eastAsia" w:ascii="宋体" w:hAnsi="宋体" w:eastAsia="宋体" w:cs="宋体"/>
                <w:i w:val="0"/>
                <w:color w:val="000000"/>
                <w:kern w:val="0"/>
                <w:sz w:val="20"/>
                <w:szCs w:val="20"/>
                <w:u w:val="none"/>
                <w:lang w:val="en-US" w:eastAsia="zh-CN" w:bidi="ar"/>
              </w:rPr>
              <w:t>中心工作，开展主题法治宣传教育活动，宣传与群众生产生活密切相关的法律法规，宣传《传染病防治法》《国境卫生检疫法》《动物防疫法》《野生动物保护法》等</w:t>
            </w:r>
            <w:r>
              <w:rPr>
                <w:rFonts w:hint="eastAsia" w:ascii="宋体" w:hAnsi="宋体" w:cs="宋体"/>
                <w:i w:val="0"/>
                <w:color w:val="000000"/>
                <w:kern w:val="0"/>
                <w:sz w:val="20"/>
                <w:szCs w:val="20"/>
                <w:u w:val="none"/>
                <w:lang w:val="en-US" w:eastAsia="zh-CN" w:bidi="ar"/>
              </w:rPr>
              <w:t>疫情</w:t>
            </w:r>
            <w:r>
              <w:rPr>
                <w:rFonts w:hint="eastAsia" w:ascii="宋体" w:hAnsi="宋体" w:eastAsia="宋体" w:cs="宋体"/>
                <w:i w:val="0"/>
                <w:color w:val="000000"/>
                <w:kern w:val="0"/>
                <w:sz w:val="20"/>
                <w:szCs w:val="20"/>
                <w:u w:val="none"/>
                <w:lang w:val="en-US" w:eastAsia="zh-CN" w:bidi="ar"/>
              </w:rPr>
              <w:t>法律法规，宣传党内法规等情况。</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576"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重点对象 学法 （5分）</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领导干部学法用法情况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落实党委（党组）中心组集体学法制度，每年组织专题法治讲座不少于2次。每年组织机关干部参加旁听庭审活动不少于1次。每年组织本部门执法人员进行通用法律知识、专门法律知识、新法律法规等专题培训情况。实行领导干部年度述法制度，领导班子和领导干部在年度考核述职中围绕法治学习情况、重大事项依法决策情况、依法履职情况等进行述法情况。</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291"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val="0"/>
                <w:color w:val="000000"/>
                <w:sz w:val="20"/>
                <w:szCs w:val="20"/>
                <w:u w:val="none"/>
              </w:rPr>
            </w:pP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Ⅱ－４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谁执法</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谁普法</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r>
              <w:rPr>
                <w:rStyle w:val="4"/>
                <w:rFonts w:eastAsia="宋体"/>
                <w:lang w:val="en-US" w:eastAsia="zh-CN" w:bidi="ar"/>
              </w:rPr>
              <w:t>14</w:t>
            </w:r>
            <w:r>
              <w:rPr>
                <w:rFonts w:hint="eastAsia" w:ascii="宋体" w:hAnsi="宋体" w:eastAsia="宋体" w:cs="宋体"/>
                <w:i w:val="0"/>
                <w:color w:val="000000"/>
                <w:kern w:val="0"/>
                <w:sz w:val="20"/>
                <w:szCs w:val="20"/>
                <w:u w:val="none"/>
                <w:lang w:val="en-US" w:eastAsia="zh-CN" w:bidi="ar"/>
              </w:rPr>
              <w:t>分）</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普法责任清单落实情况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总梳理本系统本行业履行职能所依据的法律法规，主动向社会公布，并根据法律法规颁布或修订及时调整情况。根据本部门本单位工作实际和执法任务，制定普法工作规划和年度计划，建立普法责任清单，在部门门户网站上公布，并报同级</w:t>
            </w:r>
            <w:r>
              <w:rPr>
                <w:rFonts w:hint="eastAsia" w:ascii="宋体" w:hAnsi="宋体" w:cs="宋体"/>
                <w:i w:val="0"/>
                <w:color w:val="000000"/>
                <w:kern w:val="0"/>
                <w:sz w:val="20"/>
                <w:szCs w:val="20"/>
                <w:u w:val="none"/>
                <w:lang w:val="en-US" w:eastAsia="zh-CN" w:bidi="ar"/>
              </w:rPr>
              <w:t>普法与依法治理</w:t>
            </w:r>
            <w:r>
              <w:rPr>
                <w:rFonts w:hint="eastAsia" w:ascii="宋体" w:hAnsi="宋体" w:eastAsia="宋体" w:cs="宋体"/>
                <w:i w:val="0"/>
                <w:color w:val="000000"/>
                <w:kern w:val="0"/>
                <w:sz w:val="20"/>
                <w:szCs w:val="20"/>
                <w:u w:val="none"/>
                <w:lang w:val="en-US" w:eastAsia="zh-CN" w:bidi="ar"/>
              </w:rPr>
              <w:t>主管部门备案情况。</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256"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在执法司法和服务管理中开展普法情况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开展面向社会公众、服务管理对象的法律</w:t>
            </w:r>
            <w:r>
              <w:rPr>
                <w:rFonts w:hint="eastAsia" w:ascii="宋体" w:hAnsi="宋体" w:cs="宋体"/>
                <w:i w:val="0"/>
                <w:color w:val="000000"/>
                <w:kern w:val="0"/>
                <w:sz w:val="20"/>
                <w:szCs w:val="20"/>
                <w:u w:val="none"/>
                <w:lang w:val="en-US" w:eastAsia="zh-CN" w:bidi="ar"/>
              </w:rPr>
              <w:t>宣传</w:t>
            </w:r>
            <w:r>
              <w:rPr>
                <w:rFonts w:hint="eastAsia" w:ascii="宋体" w:hAnsi="宋体" w:eastAsia="宋体" w:cs="宋体"/>
                <w:i w:val="0"/>
                <w:color w:val="000000"/>
                <w:kern w:val="0"/>
                <w:sz w:val="20"/>
                <w:szCs w:val="20"/>
                <w:u w:val="none"/>
                <w:lang w:val="en-US" w:eastAsia="zh-CN" w:bidi="ar"/>
              </w:rPr>
              <w:t>活动，每年不少于4次。结合本部门负责执行的重点法律法规，制作发放形象生动的平面、影像、动画等法治宣传资料。</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291"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以案释法工作开展情况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开展以案释法，在司法执法过程、裁判文书和行政处罚决定书中释法说理情况。</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235"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val="0"/>
                <w:color w:val="000000"/>
                <w:sz w:val="20"/>
                <w:szCs w:val="20"/>
                <w:u w:val="none"/>
              </w:rPr>
            </w:pPr>
          </w:p>
        </w:tc>
        <w:tc>
          <w:tcPr>
            <w:tcW w:w="1065"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Ⅱ－５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法治文化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建设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法治文化阵地建设情况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法治宣传阵地建设情况；</w:t>
            </w:r>
            <w:r>
              <w:rPr>
                <w:rFonts w:hint="eastAsia" w:ascii="宋体" w:hAnsi="宋体" w:eastAsia="宋体" w:cs="宋体"/>
                <w:i w:val="0"/>
                <w:color w:val="000000"/>
                <w:kern w:val="0"/>
                <w:sz w:val="20"/>
                <w:szCs w:val="20"/>
                <w:u w:val="none"/>
                <w:lang w:val="en-US" w:eastAsia="zh-CN" w:bidi="ar"/>
              </w:rPr>
              <w:t>建有1个以上面向社会公众的公共法治宣传教育设施，内容及时更新，开展公</w:t>
            </w:r>
            <w:bookmarkStart w:id="0" w:name="_GoBack"/>
            <w:bookmarkEnd w:id="0"/>
            <w:r>
              <w:rPr>
                <w:rFonts w:hint="eastAsia" w:ascii="宋体" w:hAnsi="宋体" w:eastAsia="宋体" w:cs="宋体"/>
                <w:i w:val="0"/>
                <w:color w:val="000000"/>
                <w:kern w:val="0"/>
                <w:sz w:val="20"/>
                <w:szCs w:val="20"/>
                <w:u w:val="none"/>
                <w:lang w:val="en-US" w:eastAsia="zh-CN" w:bidi="ar"/>
              </w:rPr>
              <w:t>益宣传情况</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加强新媒体普法，充分运用在部门门户网站、官方微博、微信公众号开展法治宣传情况</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990"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Ⅲ－12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法治文化作品创作情况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参加司法部、全国普法办等中央部委和省里组织开展的法治动漫微电影公益广告等文化作品创作、评选、演出、播出情况。</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根据文件材料、实地检查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246" w:hRule="atLeast"/>
        </w:trPr>
        <w:tc>
          <w:tcPr>
            <w:tcW w:w="60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Ⅰ－</w:t>
            </w:r>
            <w:r>
              <w:rPr>
                <w:rStyle w:val="4"/>
                <w:rFonts w:eastAsia="宋体"/>
                <w:lang w:val="en-US" w:eastAsia="zh-CN" w:bidi="ar"/>
              </w:rPr>
              <w:t>2</w:t>
            </w:r>
            <w:r>
              <w:rPr>
                <w:rStyle w:val="4"/>
                <w:rFonts w:eastAsia="宋体"/>
                <w:lang w:val="en-US" w:eastAsia="zh-CN" w:bidi="ar"/>
              </w:rPr>
              <w:br w:type="textWrapping"/>
            </w:r>
            <w:r>
              <w:rPr>
                <w:rFonts w:hint="eastAsia" w:ascii="宋体" w:hAnsi="宋体" w:eastAsia="宋体" w:cs="宋体"/>
                <w:i w:val="0"/>
                <w:color w:val="000000"/>
                <w:kern w:val="0"/>
                <w:sz w:val="20"/>
                <w:szCs w:val="20"/>
                <w:u w:val="none"/>
                <w:lang w:val="en-US" w:eastAsia="zh-CN" w:bidi="ar"/>
              </w:rPr>
              <w:t>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况</w:t>
            </w:r>
            <w:r>
              <w:rPr>
                <w:rFonts w:hint="eastAsia" w:ascii="宋体" w:hAnsi="宋体" w:eastAsia="宋体" w:cs="宋体"/>
                <w:i w:val="0"/>
                <w:color w:val="000000"/>
                <w:kern w:val="0"/>
                <w:sz w:val="20"/>
                <w:szCs w:val="20"/>
                <w:u w:val="none"/>
                <w:lang w:val="en-US" w:eastAsia="zh-CN" w:bidi="ar"/>
              </w:rPr>
              <w:br w:type="textWrapping"/>
            </w:r>
            <w:r>
              <w:rPr>
                <w:rStyle w:val="4"/>
                <w:rFonts w:eastAsia="宋体"/>
                <w:lang w:val="en-US" w:eastAsia="zh-CN" w:bidi="ar"/>
              </w:rPr>
              <w:t>(46</w:t>
            </w:r>
            <w:r>
              <w:rPr>
                <w:rFonts w:hint="eastAsia" w:ascii="宋体" w:hAnsi="宋体" w:eastAsia="宋体" w:cs="宋体"/>
                <w:i w:val="0"/>
                <w:color w:val="000000"/>
                <w:kern w:val="0"/>
                <w:sz w:val="20"/>
                <w:szCs w:val="20"/>
                <w:u w:val="none"/>
                <w:lang w:val="en-US" w:eastAsia="zh-CN" w:bidi="ar"/>
              </w:rPr>
              <w:t>分</w:t>
            </w:r>
            <w:r>
              <w:rPr>
                <w:rStyle w:val="4"/>
                <w:rFonts w:eastAsia="宋体"/>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w:t>
            </w:r>
            <w:r>
              <w:rPr>
                <w:rStyle w:val="4"/>
                <w:rFonts w:eastAsia="宋体"/>
                <w:lang w:val="en-US" w:eastAsia="zh-CN" w:bidi="ar"/>
              </w:rPr>
              <w:t>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法治观念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Style w:val="4"/>
                <w:rFonts w:eastAsia="宋体"/>
                <w:lang w:val="en-US" w:eastAsia="zh-CN" w:bidi="ar"/>
              </w:rPr>
              <w:t>10</w:t>
            </w:r>
            <w:r>
              <w:rPr>
                <w:rFonts w:hint="eastAsia" w:ascii="宋体" w:hAnsi="宋体" w:eastAsia="宋体" w:cs="宋体"/>
                <w:i w:val="0"/>
                <w:color w:val="000000"/>
                <w:kern w:val="0"/>
                <w:sz w:val="20"/>
                <w:szCs w:val="20"/>
                <w:u w:val="none"/>
                <w:lang w:val="en-US" w:eastAsia="zh-CN" w:bidi="ar"/>
              </w:rPr>
              <w:t>分）</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Ⅲ－13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干部职工法治意识</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干部职工对习近平总书记关于全面依法治国重要论述、社会主义法治理念、宪法法律、社会主义核心价值观等基本知识的知晓度。</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问卷调查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r>
              <w:rPr>
                <w:rStyle w:val="4"/>
                <w:rFonts w:eastAsia="宋体"/>
                <w:lang w:val="en-US" w:eastAsia="zh-CN" w:bidi="ar"/>
              </w:rPr>
              <w:t>×</w:t>
            </w:r>
            <w:r>
              <w:rPr>
                <w:rFonts w:hint="eastAsia" w:ascii="宋体" w:hAnsi="宋体" w:eastAsia="宋体" w:cs="宋体"/>
                <w:i w:val="0"/>
                <w:color w:val="000000"/>
                <w:kern w:val="0"/>
                <w:sz w:val="20"/>
                <w:szCs w:val="20"/>
                <w:u w:val="none"/>
                <w:lang w:val="en-US" w:eastAsia="zh-CN" w:bidi="ar"/>
              </w:rPr>
              <w:t>百分数（百分数根据调查问卷的回答情况来计算）。根据问卷调查打分。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021"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0"/>
                <w:szCs w:val="20"/>
                <w:u w:val="none"/>
              </w:rPr>
            </w:pPr>
          </w:p>
        </w:tc>
        <w:tc>
          <w:tcPr>
            <w:tcW w:w="106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法治行为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（36分）</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Ⅲ－14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干部职工守法情况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r>
              <w:rPr>
                <w:rFonts w:hint="eastAsia" w:ascii="宋体" w:hAnsi="宋体" w:cs="宋体"/>
                <w:i w:val="0"/>
                <w:color w:val="000000"/>
                <w:kern w:val="0"/>
                <w:sz w:val="20"/>
                <w:szCs w:val="20"/>
                <w:u w:val="none"/>
                <w:lang w:val="en-US" w:eastAsia="zh-CN" w:bidi="ar"/>
              </w:rPr>
              <w:t>部门</w:t>
            </w:r>
            <w:r>
              <w:rPr>
                <w:rFonts w:hint="eastAsia" w:ascii="宋体" w:hAnsi="宋体" w:eastAsia="宋体" w:cs="宋体"/>
                <w:i w:val="0"/>
                <w:color w:val="000000"/>
                <w:kern w:val="0"/>
                <w:sz w:val="20"/>
                <w:szCs w:val="20"/>
                <w:u w:val="none"/>
                <w:lang w:val="en-US" w:eastAsia="zh-CN" w:bidi="ar"/>
              </w:rPr>
              <w:t>处级以上领导干部违法违纪情况[本单位处级以上领导干部违法违纪人数与领导干部人数的比率]。</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数据统计</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根据数据统计和实地检查</w:t>
            </w:r>
            <w:r>
              <w:rPr>
                <w:rFonts w:hint="eastAsia" w:ascii="宋体" w:hAnsi="宋体" w:cs="宋体"/>
                <w:i w:val="0"/>
                <w:color w:val="000000"/>
                <w:kern w:val="0"/>
                <w:sz w:val="20"/>
                <w:szCs w:val="20"/>
                <w:u w:val="none"/>
                <w:lang w:val="en-US" w:eastAsia="zh-CN" w:bidi="ar"/>
              </w:rPr>
              <w:t>或线上核实</w:t>
            </w:r>
            <w:r>
              <w:rPr>
                <w:rFonts w:hint="eastAsia" w:ascii="宋体" w:hAnsi="宋体" w:eastAsia="宋体" w:cs="宋体"/>
                <w:i w:val="0"/>
                <w:color w:val="000000"/>
                <w:kern w:val="0"/>
                <w:sz w:val="20"/>
                <w:szCs w:val="20"/>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321"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依法行政情况</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r>
              <w:rPr>
                <w:rFonts w:hint="eastAsia" w:ascii="宋体" w:hAnsi="宋体" w:cs="宋体"/>
                <w:i w:val="0"/>
                <w:color w:val="000000"/>
                <w:kern w:val="0"/>
                <w:sz w:val="20"/>
                <w:szCs w:val="20"/>
                <w:u w:val="none"/>
                <w:lang w:val="en-US" w:eastAsia="zh-CN" w:bidi="ar"/>
              </w:rPr>
              <w:t>部门</w:t>
            </w:r>
            <w:r>
              <w:rPr>
                <w:rFonts w:hint="eastAsia" w:ascii="宋体" w:hAnsi="宋体" w:eastAsia="宋体" w:cs="宋体"/>
                <w:i w:val="0"/>
                <w:color w:val="000000"/>
                <w:kern w:val="0"/>
                <w:sz w:val="20"/>
                <w:szCs w:val="20"/>
                <w:u w:val="none"/>
                <w:lang w:val="en-US" w:eastAsia="zh-CN" w:bidi="ar"/>
              </w:rPr>
              <w:t>行政行为被申请行政复议情况（行政复议案件数量，行政行为经复议被变更的数量与行政复议案件总数的比率）；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本</w:t>
            </w:r>
            <w:r>
              <w:rPr>
                <w:rFonts w:hint="eastAsia" w:ascii="宋体" w:hAnsi="宋体" w:cs="宋体"/>
                <w:i w:val="0"/>
                <w:color w:val="000000"/>
                <w:kern w:val="0"/>
                <w:sz w:val="20"/>
                <w:szCs w:val="20"/>
                <w:u w:val="none"/>
                <w:lang w:val="en-US" w:eastAsia="zh-CN" w:bidi="ar"/>
              </w:rPr>
              <w:t>部门</w:t>
            </w:r>
            <w:r>
              <w:rPr>
                <w:rFonts w:hint="eastAsia" w:ascii="宋体" w:hAnsi="宋体" w:eastAsia="宋体" w:cs="宋体"/>
                <w:i w:val="0"/>
                <w:color w:val="000000"/>
                <w:kern w:val="0"/>
                <w:sz w:val="20"/>
                <w:szCs w:val="20"/>
                <w:u w:val="none"/>
                <w:lang w:val="en-US" w:eastAsia="zh-CN" w:bidi="ar"/>
              </w:rPr>
              <w:t>行政行为被提起行政诉讼情况（行政诉讼案件数量，行政诉讼中本单位败诉率）。</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问卷调查  数据统计</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18分</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根据问卷调查打分与检查组根据数据统计、实地考察打分相结合。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1"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Ⅰ－</w:t>
            </w:r>
            <w:r>
              <w:rPr>
                <w:rStyle w:val="4"/>
                <w:rFonts w:eastAsia="宋体"/>
                <w:lang w:val="en-US" w:eastAsia="zh-CN" w:bidi="ar"/>
              </w:rPr>
              <w:t>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普法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创新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情况</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rFonts w:eastAsia="宋体"/>
                <w:lang w:val="en-US" w:eastAsia="zh-CN" w:bidi="ar"/>
              </w:rPr>
              <w:t>(</w:t>
            </w:r>
            <w:r>
              <w:rPr>
                <w:rStyle w:val="4"/>
                <w:rFonts w:hint="eastAsia"/>
                <w:lang w:val="en-US" w:eastAsia="zh-CN" w:bidi="ar"/>
              </w:rPr>
              <w:t>5</w:t>
            </w:r>
            <w:r>
              <w:rPr>
                <w:rFonts w:hint="eastAsia" w:ascii="宋体" w:hAnsi="宋体" w:eastAsia="宋体" w:cs="宋体"/>
                <w:i w:val="0"/>
                <w:color w:val="000000"/>
                <w:kern w:val="0"/>
                <w:sz w:val="20"/>
                <w:szCs w:val="20"/>
                <w:u w:val="none"/>
                <w:lang w:val="en-US" w:eastAsia="zh-CN" w:bidi="ar"/>
              </w:rPr>
              <w:t>分</w:t>
            </w:r>
            <w:r>
              <w:rPr>
                <w:rStyle w:val="4"/>
                <w:rFonts w:eastAsia="宋体"/>
                <w:lang w:val="en-US" w:eastAsia="zh-CN" w:bidi="ar"/>
              </w:rPr>
              <w:t>)</w:t>
            </w:r>
            <w:r>
              <w:rPr>
                <w:rFonts w:hint="eastAsia" w:ascii="Times New Roman" w:hAnsi="Times New Roman" w:eastAsia="宋体" w:cs="Times New Roman"/>
                <w:i w:val="0"/>
                <w:lang w:val="en-US" w:eastAsia="zh-CN" w:bidi="ar"/>
              </w:rPr>
              <w:fldChar w:fldCharType="begin"/>
            </w:r>
            <w:r>
              <w:rPr>
                <w:rStyle w:val="4"/>
                <w:rFonts w:hint="eastAsia" w:ascii="Times New Roman" w:hAnsi="Times New Roman" w:eastAsia="宋体" w:cs="Times New Roman"/>
                <w:i w:val="0"/>
                <w:lang w:val="en-US" w:eastAsia="zh-CN" w:bidi="ar"/>
              </w:rPr>
              <w:instrText xml:space="preserve">INCLUDEPICTURE \d "C:\\Users\\李志强\\AppData\\Local\\Temp\\ksohtml\\clip_image6.png" \* MERGEFORMATINET </w:instrText>
            </w:r>
            <w:r>
              <w:rPr>
                <w:rFonts w:hint="eastAsia" w:ascii="Times New Roman" w:hAnsi="Times New Roman" w:eastAsia="宋体" w:cs="Times New Roman"/>
                <w:i w:val="0"/>
                <w:lang w:val="en-US" w:eastAsia="zh-CN" w:bidi="ar"/>
              </w:rPr>
              <w:fldChar w:fldCharType="separate"/>
            </w:r>
            <w:r>
              <w:rPr>
                <w:rStyle w:val="4"/>
                <w:rFonts w:hint="eastAsia" w:ascii="Times New Roman" w:hAnsi="Times New Roman" w:eastAsia="宋体" w:cs="Times New Roman"/>
                <w:i w:val="0"/>
                <w:lang w:val="en-US" w:eastAsia="zh-CN" w:bidi="ar"/>
              </w:rPr>
              <w:drawing>
                <wp:inline distT="0" distB="0" distL="114300" distR="114300">
                  <wp:extent cx="180975" cy="2952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80975" cy="295275"/>
                          </a:xfrm>
                          <a:prstGeom prst="rect">
                            <a:avLst/>
                          </a:prstGeom>
                          <a:noFill/>
                          <a:ln w="9525">
                            <a:noFill/>
                          </a:ln>
                        </pic:spPr>
                      </pic:pic>
                    </a:graphicData>
                  </a:graphic>
                </wp:inline>
              </w:drawing>
            </w:r>
            <w:r>
              <w:rPr>
                <w:rFonts w:hint="eastAsia" w:ascii="Times New Roman" w:hAnsi="Times New Roman" w:eastAsia="宋体" w:cs="Times New Roman"/>
                <w:i w:val="0"/>
                <w:lang w:val="en-US" w:eastAsia="zh-CN" w:bidi="ar"/>
              </w:rPr>
              <w:fldChar w:fldCharType="end"/>
            </w:r>
            <w:r>
              <w:rPr>
                <w:rFonts w:hint="eastAsia" w:ascii="宋体" w:hAnsi="宋体" w:eastAsia="宋体" w:cs="宋体"/>
                <w:i w:val="0"/>
                <w:color w:val="000000"/>
                <w:kern w:val="0"/>
                <w:sz w:val="20"/>
                <w:szCs w:val="20"/>
                <w:u w:val="none"/>
                <w:lang w:val="en-US" w:eastAsia="zh-CN" w:bidi="ar"/>
              </w:rPr>
              <w:t xml:space="preserve"> </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Ⅱ－8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创新项目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分)</w:t>
            </w:r>
          </w:p>
        </w:tc>
        <w:tc>
          <w:tcPr>
            <w:tcW w:w="89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省直部门</w:t>
            </w:r>
            <w:r>
              <w:rPr>
                <w:rFonts w:hint="eastAsia" w:ascii="宋体" w:hAnsi="宋体" w:eastAsia="宋体" w:cs="宋体"/>
                <w:i w:val="0"/>
                <w:color w:val="000000"/>
                <w:kern w:val="0"/>
                <w:sz w:val="20"/>
                <w:szCs w:val="20"/>
                <w:u w:val="none"/>
                <w:lang w:val="en-US" w:eastAsia="zh-CN" w:bidi="ar"/>
              </w:rPr>
              <w:t>结合本地实际，开展的特色创新工作，以项目案例方式申报。</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网上申报</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5分</w:t>
            </w:r>
          </w:p>
        </w:tc>
        <w:tc>
          <w:tcPr>
            <w:tcW w:w="21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每单位限报1个。</w:t>
            </w:r>
          </w:p>
        </w:tc>
      </w:tr>
    </w:tbl>
    <w:p>
      <w:pPr>
        <w:ind w:left="0" w:leftChars="0" w:right="0" w:rightChars="0" w:firstLine="0" w:firstLineChars="0"/>
        <w:jc w:val="left"/>
        <w:rPr>
          <w:rFonts w:hint="eastAsia" w:ascii="仿宋" w:hAnsi="仿宋" w:eastAsia="仿宋" w:cs="仿宋"/>
          <w:sz w:val="32"/>
          <w:lang w:val="en-US" w:eastAsia="zh-CN"/>
        </w:rPr>
      </w:pPr>
      <w:r>
        <w:rPr>
          <w:rFonts w:hint="eastAsia" w:ascii="仿宋" w:hAnsi="仿宋" w:eastAsia="仿宋" w:cs="仿宋"/>
          <w:sz w:val="32"/>
          <w:lang w:val="en-US" w:eastAsia="zh-CN"/>
        </w:rPr>
        <w:t>注：创新加分，根据各单位上报的普法创新项目情况酌情加1-5分。</w:t>
      </w:r>
    </w:p>
    <w:p/>
    <w:sectPr>
      <w:pgSz w:w="16838" w:h="11906" w:orient="landscape"/>
      <w:pgMar w:top="1463" w:right="1440" w:bottom="1463"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6157C"/>
    <w:rsid w:val="2F86157C"/>
    <w:rsid w:val="359169DC"/>
    <w:rsid w:val="4D763458"/>
    <w:rsid w:val="659C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61"/>
    <w:basedOn w:val="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2020-04-23T09:03:00Z</dcterms:created>
  <dc:creator>李志强</dc:creator>
  <cp:lastModifiedBy>李志强</cp:lastModifiedBy>
  <dcterms:modified xsi:type="dcterms:W3CDTF">2020-04-27T03:47:27Z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